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tabs>
          <w:tab w:val="center" w:leader="none" w:pos="4419"/>
          <w:tab w:val="right" w:leader="none" w:pos="8838"/>
        </w:tabs>
        <w:spacing w:after="0" w:line="240" w:lineRule="auto"/>
        <w:ind w:hanging="709"/>
        <w:jc w:val="center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rtl w:val="0"/>
        </w:rPr>
        <w:t xml:space="preserve">FICHA TÉCNICA</w:t>
      </w:r>
      <w:r w:rsidDel="00000000" w:rsidR="00000000" w:rsidRPr="00000000">
        <w:rPr>
          <w:rtl w:val="0"/>
        </w:rPr>
      </w:r>
    </w:p>
    <w:tbl>
      <w:tblPr>
        <w:tblStyle w:val="Table1"/>
        <w:tblW w:w="14025.0" w:type="dxa"/>
        <w:jc w:val="left"/>
        <w:tblInd w:w="-645.0" w:type="dxa"/>
        <w:tblLayout w:type="fixed"/>
        <w:tblLook w:val="0400"/>
      </w:tblPr>
      <w:tblGrid>
        <w:gridCol w:w="4950"/>
        <w:gridCol w:w="4485"/>
        <w:gridCol w:w="4590"/>
        <w:tblGridChange w:id="0">
          <w:tblGrid>
            <w:gridCol w:w="4950"/>
            <w:gridCol w:w="4485"/>
            <w:gridCol w:w="4590"/>
          </w:tblGrid>
        </w:tblGridChange>
      </w:tblGrid>
      <w:tr>
        <w:trPr>
          <w:cantSplit w:val="0"/>
          <w:trHeight w:val="672.1104736328125" w:hRule="atLeast"/>
          <w:tblHeader w:val="1"/>
        </w:trPr>
        <w:tc>
          <w:tcPr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</w:rPr>
              <w:drawing>
                <wp:inline distB="114300" distT="114300" distL="114300" distR="114300">
                  <wp:extent cx="2453640" cy="1533525"/>
                  <wp:effectExtent b="0" l="0" r="0" t="0"/>
                  <wp:docPr id="328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3640" cy="15335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Nombre de la práctica: </w:t>
            </w:r>
          </w:p>
          <w:p w:rsidR="00000000" w:rsidDel="00000000" w:rsidP="00000000" w:rsidRDefault="00000000" w:rsidRPr="00000000" w14:paraId="00000005">
            <w:pPr>
              <w:spacing w:after="0" w:lineRule="auto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Micrositio de la Defensoría Pública Electoral</w:t>
            </w:r>
          </w:p>
        </w:tc>
      </w:tr>
      <w:tr>
        <w:trPr>
          <w:cantSplit w:val="0"/>
          <w:trHeight w:val="662.1104736328125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Nombre del Sujeto Obligado</w:t>
            </w:r>
          </w:p>
          <w:p w:rsidR="00000000" w:rsidDel="00000000" w:rsidP="00000000" w:rsidRDefault="00000000" w:rsidRPr="00000000" w14:paraId="00000009">
            <w:pPr>
              <w:spacing w:after="0" w:lineRule="auto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Tribunal Electoral del Estado de México</w:t>
            </w:r>
          </w:p>
        </w:tc>
      </w:tr>
      <w:tr>
        <w:trPr>
          <w:cantSplit w:val="0"/>
          <w:trHeight w:val="662.1104736328125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Área responsable de la práctica</w:t>
            </w:r>
          </w:p>
          <w:p w:rsidR="00000000" w:rsidDel="00000000" w:rsidP="00000000" w:rsidRDefault="00000000" w:rsidRPr="00000000" w14:paraId="0000000D">
            <w:pPr>
              <w:spacing w:after="0" w:lineRule="auto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Defensoría Pública Electoral</w:t>
            </w:r>
          </w:p>
        </w:tc>
      </w:tr>
      <w:tr>
        <w:trPr>
          <w:cantSplit w:val="0"/>
          <w:trHeight w:val="642.1104736328125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Disponible para su consulta en:</w:t>
            </w:r>
          </w:p>
          <w:p w:rsidR="00000000" w:rsidDel="00000000" w:rsidP="00000000" w:rsidRDefault="00000000" w:rsidRPr="00000000" w14:paraId="00000011">
            <w:pPr>
              <w:spacing w:after="0" w:lineRule="auto"/>
              <w:jc w:val="center"/>
              <w:rPr>
                <w:rFonts w:ascii="Palatino Linotype" w:cs="Palatino Linotype" w:eastAsia="Palatino Linotype" w:hAnsi="Palatino Linotype"/>
                <w:b w:val="1"/>
                <w:highlight w:val="white"/>
              </w:rPr>
            </w:pPr>
            <w:hyperlink r:id="rId8">
              <w:r w:rsidDel="00000000" w:rsidR="00000000" w:rsidRPr="00000000">
                <w:rPr>
                  <w:rFonts w:ascii="Palatino Linotype" w:cs="Palatino Linotype" w:eastAsia="Palatino Linotype" w:hAnsi="Palatino Linotype"/>
                  <w:b w:val="1"/>
                  <w:color w:val="1155cc"/>
                  <w:highlight w:val="white"/>
                  <w:u w:val="single"/>
                  <w:rtl w:val="0"/>
                </w:rPr>
                <w:t xml:space="preserve">https://teemmx.org.mx/defensoria/</w:t>
              </w:r>
            </w:hyperlink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highlight w:val="white"/>
                <w:rtl w:val="0"/>
              </w:rPr>
              <w:t xml:space="preserve"> </w:t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Periodo: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Vigente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Alcance: 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Estatal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Lugar: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Estado de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México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Puntuación total: 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100</w:t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Práctica reconocida en el año 2024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C">
      <w:pPr>
        <w:spacing w:after="0" w:lineRule="auto"/>
        <w:jc w:val="left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30j0zll" w:id="0"/>
      <w:bookmarkEnd w:id="0"/>
      <w:r w:rsidDel="00000000" w:rsidR="00000000" w:rsidRPr="00000000">
        <w:rPr>
          <w:rtl w:val="0"/>
        </w:rPr>
      </w:r>
    </w:p>
    <w:tbl>
      <w:tblPr>
        <w:tblStyle w:val="Table2"/>
        <w:tblW w:w="13905.0" w:type="dxa"/>
        <w:jc w:val="left"/>
        <w:tblInd w:w="-572.0" w:type="dxa"/>
        <w:tblLayout w:type="fixed"/>
        <w:tblLook w:val="0400"/>
      </w:tblPr>
      <w:tblGrid>
        <w:gridCol w:w="7395"/>
        <w:gridCol w:w="6510"/>
        <w:tblGridChange w:id="0">
          <w:tblGrid>
            <w:gridCol w:w="7395"/>
            <w:gridCol w:w="6510"/>
          </w:tblGrid>
        </w:tblGridChange>
      </w:tblGrid>
      <w:tr>
        <w:trPr>
          <w:cantSplit w:val="0"/>
          <w:trHeight w:val="94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¿Qué es y cómo funciona la práctica?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Es un micrositio donde se  pone a disposición información acerca de la Defensoría Pública Electoral, los servicios que presta, requisitos, medios de contacto, contribuye a proteger lo derechos político electorales, publica información mediante contacto directo a través de WhatsApp, infografías, videos; se comparte información de como inicia el trámite procedente y se otorgue patrocinio jurídico, todo ello sin necesidad de acudir a las oficinas institucionales. Promueve la participación ciudadana mediante una encuesta de satisfacción de la información, contiene información en formato de datos abiertos TXT y como medios de difusión alternos utilizó carteles, trípticos y redes sociales.</w:t>
            </w:r>
          </w:p>
        </w:tc>
      </w:tr>
      <w:tr>
        <w:trPr>
          <w:cantSplit w:val="0"/>
          <w:trHeight w:val="1220.72375488281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Objetivo: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Allegar información pública en formato de datos abiertos, a través del aprovechamiento de medios electrónicos, tales como infografías, videos, contacto por WhatsApp, contacto directo en micrositio y agendar cita para atención, que permitan eficientar el acceso y cobertura de los servicios que presta la Defensoría Electoral, para la atención a personas pertenecientes a grupos sociales en situación de vulnerabilidad.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¿Por qué se desarrolló?</w:t>
            </w:r>
          </w:p>
          <w:p w:rsidR="00000000" w:rsidDel="00000000" w:rsidP="00000000" w:rsidRDefault="00000000" w:rsidRPr="00000000" w14:paraId="00000023">
            <w:pPr>
              <w:spacing w:after="0" w:line="240" w:lineRule="auto"/>
              <w:ind w:lef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Para fortalecer las acciones que lleva a cabo este órgano jurisdiccional, encaminadas a garantizar la protección de los derechos político – electorales de las personas pertenecientes a grupos sociales en situación de vulnerabilidad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Observaciones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  <w:highlight w:val="yellow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Derivado de la información remitida, se advierte que cuenta con los elementos suficientes para considerarse una Práctica de Transparencia Proactiva, al apreciarse los atributos de calidad de la información, la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1f1f1f"/>
                <w:highlight w:val="white"/>
                <w:rtl w:val="0"/>
              </w:rPr>
              <w:t xml:space="preserve">contabilización de consultas, la participación ciudadana, los efectos positivos y los medios alternos de difusión de la información.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7">
            <w:pPr>
              <w:spacing w:after="0" w:line="240" w:lineRule="auto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Innovación: </w:t>
            </w:r>
          </w:p>
          <w:p w:rsidR="00000000" w:rsidDel="00000000" w:rsidP="00000000" w:rsidRDefault="00000000" w:rsidRPr="00000000" w14:paraId="00000028">
            <w:pPr>
              <w:numPr>
                <w:ilvl w:val="0"/>
                <w:numId w:val="1"/>
              </w:numPr>
              <w:spacing w:after="0" w:lineRule="auto"/>
              <w:ind w:left="720" w:hanging="360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Contacto directo “Agenda tu cita”</w:t>
            </w:r>
          </w:p>
          <w:p w:rsidR="00000000" w:rsidDel="00000000" w:rsidP="00000000" w:rsidRDefault="00000000" w:rsidRPr="00000000" w14:paraId="00000029">
            <w:pPr>
              <w:numPr>
                <w:ilvl w:val="0"/>
                <w:numId w:val="1"/>
              </w:numPr>
              <w:ind w:left="720" w:hanging="360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Infografías en “Traducción a lenguas originarias”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</w:rPr>
              <w:drawing>
                <wp:inline distB="114300" distT="114300" distL="114300" distR="114300">
                  <wp:extent cx="2155202" cy="1601152"/>
                  <wp:effectExtent b="0" l="0" r="0" t="0"/>
                  <wp:docPr id="343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202" cy="160115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B">
      <w:pPr>
        <w:jc w:val="both"/>
        <w:rPr>
          <w:rFonts w:ascii="Palatino Linotype" w:cs="Palatino Linotype" w:eastAsia="Palatino Linotype" w:hAnsi="Palatino Linotype"/>
        </w:rPr>
      </w:pPr>
      <w:bookmarkStart w:colFirst="0" w:colLast="0" w:name="_heading=h.bl430y4iek75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="240" w:lineRule="auto"/>
        <w:ind w:left="-708" w:firstLine="0"/>
        <w:jc w:val="center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y2fdnbofth29" w:id="2"/>
      <w:bookmarkEnd w:id="2"/>
      <w:r w:rsidDel="00000000" w:rsidR="00000000" w:rsidRPr="00000000">
        <w:rPr>
          <w:rFonts w:ascii="Palatino Linotype" w:cs="Palatino Linotype" w:eastAsia="Palatino Linotype" w:hAnsi="Palatino Linotype"/>
          <w:b w:val="1"/>
          <w:rtl w:val="0"/>
        </w:rPr>
        <w:t xml:space="preserve">EVALUACIÓN</w:t>
      </w:r>
    </w:p>
    <w:sdt>
      <w:sdtPr>
        <w:lock w:val="contentLocked"/>
        <w:id w:val="864279923"/>
        <w:tag w:val="goog_rdk_0"/>
      </w:sdtPr>
      <w:sdtContent>
        <w:tbl>
          <w:tblPr>
            <w:tblStyle w:val="Table3"/>
            <w:tblW w:w="14130.0" w:type="dxa"/>
            <w:jc w:val="left"/>
            <w:tblInd w:w="-768.0000000000001" w:type="dxa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4275"/>
            <w:gridCol w:w="1305"/>
            <w:gridCol w:w="3375"/>
            <w:gridCol w:w="5175"/>
            <w:tblGridChange w:id="0">
              <w:tblGrid>
                <w:gridCol w:w="4275"/>
                <w:gridCol w:w="1305"/>
                <w:gridCol w:w="3375"/>
                <w:gridCol w:w="5175"/>
              </w:tblGrid>
            </w:tblGridChange>
          </w:tblGrid>
          <w:tr>
            <w:trPr>
              <w:cantSplit w:val="0"/>
              <w:trHeight w:val="420" w:hRule="atLeast"/>
              <w:tblHeader w:val="0"/>
            </w:trPr>
            <w:tc>
              <w:tcPr>
                <w:shd w:fill="d9d9d9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D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CRITERIOS A EVALUAR</w:t>
                </w:r>
              </w:p>
            </w:tc>
            <w:tc>
              <w:tcPr>
                <w:shd w:fill="cccc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E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PUNTOS</w:t>
                </w:r>
              </w:p>
            </w:tc>
            <w:tc>
              <w:tcPr>
                <w:shd w:fill="cccc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F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COMENTARIOS</w:t>
                </w:r>
              </w:p>
            </w:tc>
            <w:tc>
              <w:tcPr>
                <w:shd w:fill="cccc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0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EVIDENCIA</w:t>
                </w:r>
              </w:p>
            </w:tc>
          </w:tr>
          <w:tr>
            <w:trPr>
              <w:cantSplit w:val="0"/>
              <w:trHeight w:val="311.806640625" w:hRule="atLeast"/>
              <w:tblHeader w:val="0"/>
            </w:trPr>
            <w:tc>
              <w:tcPr>
                <w:gridSpan w:val="4"/>
                <w:tcBorders>
                  <w:bottom w:color="000000" w:space="0" w:sz="8" w:val="single"/>
                </w:tcBorders>
                <w:shd w:fill="d9d9d9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1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1. Calidad de la información (0 a 4)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35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Accesible</w:t>
                </w:r>
              </w:p>
              <w:p w:rsidR="00000000" w:rsidDel="00000000" w:rsidP="00000000" w:rsidRDefault="00000000" w:rsidRPr="00000000" w14:paraId="00000036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esté presentada de tal manera que todas las personas puedan consultarla,</w:t>
                </w:r>
              </w:p>
              <w:p w:rsidR="00000000" w:rsidDel="00000000" w:rsidP="00000000" w:rsidRDefault="00000000" w:rsidRPr="00000000" w14:paraId="00000037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examinarla y utilizarla independientemente de sus capacidades técnicas, cognitivas o</w:t>
                </w:r>
              </w:p>
              <w:p w:rsidR="00000000" w:rsidDel="00000000" w:rsidP="00000000" w:rsidRDefault="00000000" w:rsidRPr="00000000" w14:paraId="00000038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físicas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39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A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Cualquier persona puede consultarlo incluyendo lenguas originarias y a través de medidas de accesibilidad. Además se encuentra alojado en la página oficial del Sujeto Obligado.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B">
                <w:pPr>
                  <w:spacing w:after="0" w:line="240" w:lineRule="auto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761298" cy="847725"/>
                      <wp:effectExtent b="0" l="0" r="0" t="0"/>
                      <wp:docPr id="331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10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61298" cy="8477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3C">
                <w:pPr>
                  <w:spacing w:after="0" w:line="240" w:lineRule="auto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3D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Confiable</w:t>
                </w:r>
              </w:p>
              <w:p w:rsidR="00000000" w:rsidDel="00000000" w:rsidP="00000000" w:rsidRDefault="00000000" w:rsidRPr="00000000" w14:paraId="0000003E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sea creíble y fidedigna y que proporcione elementos y/o datos que</w:t>
                </w:r>
              </w:p>
              <w:p w:rsidR="00000000" w:rsidDel="00000000" w:rsidP="00000000" w:rsidRDefault="00000000" w:rsidRPr="00000000" w14:paraId="0000003F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permiten la identificación de su origen, fecha de generación, de emisión y difusión de la</w:t>
                </w:r>
              </w:p>
              <w:p w:rsidR="00000000" w:rsidDel="00000000" w:rsidP="00000000" w:rsidRDefault="00000000" w:rsidRPr="00000000" w14:paraId="00000040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misma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1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2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La información es vigente y se ha difundido de manera reciente.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3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682240" cy="371475"/>
                      <wp:effectExtent b="0" l="0" r="0" t="0"/>
                      <wp:docPr id="329" name="image1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.png"/>
                              <pic:cNvPicPr preferRelativeResize="0"/>
                            </pic:nvPicPr>
                            <pic:blipFill>
                              <a:blip r:embed="rId11"/>
                              <a:srcRect b="0" l="0" r="9452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82240" cy="3714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44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64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5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Comprensible</w:t>
                </w:r>
              </w:p>
              <w:p w:rsidR="00000000" w:rsidDel="00000000" w:rsidP="00000000" w:rsidRDefault="00000000" w:rsidRPr="00000000" w14:paraId="00000046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 sencilla, clara y entendible para cualquier persona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7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8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La información contenida en el sitio web es presentada en un lenguaje sencillo y fácil de entender.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9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458402" cy="1334330"/>
                      <wp:effectExtent b="0" l="0" r="0" t="0"/>
                      <wp:docPr id="333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12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58402" cy="13343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307.226562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A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Oportuna</w:t>
                </w:r>
              </w:p>
              <w:p w:rsidR="00000000" w:rsidDel="00000000" w:rsidP="00000000" w:rsidRDefault="00000000" w:rsidRPr="00000000" w14:paraId="0000004B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se publica a tiempo para preservar su valor y ser útil para la toma de</w:t>
                </w:r>
              </w:p>
              <w:p w:rsidR="00000000" w:rsidDel="00000000" w:rsidP="00000000" w:rsidRDefault="00000000" w:rsidRPr="00000000" w14:paraId="0000004C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decisiones de las personas usuarias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D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E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Se encuentra disponible en el momento en el que se requiera, para apoyar en la toma de decisiones de los usuarios.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F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962275" cy="965200"/>
                      <wp:effectExtent b="0" l="0" r="0" t="0"/>
                      <wp:docPr id="332" name="image1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.png"/>
                              <pic:cNvPicPr preferRelativeResize="0"/>
                            </pic:nvPicPr>
                            <pic:blipFill>
                              <a:blip r:embed="rId13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62275" cy="9652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0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Veraz</w:t>
                </w:r>
              </w:p>
              <w:p w:rsidR="00000000" w:rsidDel="00000000" w:rsidP="00000000" w:rsidRDefault="00000000" w:rsidRPr="00000000" w14:paraId="00000051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sea exacta, refiera o manifieste siempre la verdad respecto de lo generado,</w:t>
                </w:r>
              </w:p>
              <w:p w:rsidR="00000000" w:rsidDel="00000000" w:rsidP="00000000" w:rsidRDefault="00000000" w:rsidRPr="00000000" w14:paraId="00000052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utilizado o publicitado por el Sujeto Obligado</w:t>
                </w:r>
              </w:p>
              <w:p w:rsidR="00000000" w:rsidDel="00000000" w:rsidP="00000000" w:rsidRDefault="00000000" w:rsidRPr="00000000" w14:paraId="00000053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4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5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Se encuentra basado en la normatividad.</w:t>
                </w:r>
              </w:p>
            </w:tc>
            <w:tc>
              <w:tcPr>
                <w:vMerge w:val="restart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6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115481" cy="800506"/>
                      <wp:effectExtent b="0" l="0" r="0" t="0"/>
                      <wp:docPr id="335" name="image1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.png"/>
                              <pic:cNvPicPr preferRelativeResize="0"/>
                            </pic:nvPicPr>
                            <pic:blipFill>
                              <a:blip r:embed="rId14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15481" cy="80050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57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58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1944053" cy="1706216"/>
                      <wp:effectExtent b="0" l="0" r="0" t="0"/>
                      <wp:docPr id="339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44053" cy="170621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 </w:t>
                </w:r>
              </w:p>
              <w:p w:rsidR="00000000" w:rsidDel="00000000" w:rsidP="00000000" w:rsidRDefault="00000000" w:rsidRPr="00000000" w14:paraId="00000059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5A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5B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C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Congruente</w:t>
                </w:r>
              </w:p>
              <w:p w:rsidR="00000000" w:rsidDel="00000000" w:rsidP="00000000" w:rsidRDefault="00000000" w:rsidRPr="00000000" w14:paraId="0000005D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mantiene relación y coherencia con otra información generada,</w:t>
                </w:r>
              </w:p>
              <w:p w:rsidR="00000000" w:rsidDel="00000000" w:rsidP="00000000" w:rsidRDefault="00000000" w:rsidRPr="00000000" w14:paraId="0000005E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utilizada y/o publicada por el Sujeto Obligado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F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0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Está relacionado con la normatividad vigente.</w:t>
                </w:r>
              </w:p>
            </w:tc>
            <w:tc>
              <w:tcPr>
                <w:vMerge w:val="continue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76" w:lineRule="auto"/>
                  <w:ind w:left="0" w:right="0" w:firstLine="0"/>
                  <w:jc w:val="left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2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Verificable</w:t>
                </w:r>
              </w:p>
              <w:p w:rsidR="00000000" w:rsidDel="00000000" w:rsidP="00000000" w:rsidRDefault="00000000" w:rsidRPr="00000000" w14:paraId="00000063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 posible comprobar la veracidad de la información, así como</w:t>
                </w:r>
              </w:p>
              <w:p w:rsidR="00000000" w:rsidDel="00000000" w:rsidP="00000000" w:rsidRDefault="00000000" w:rsidRPr="00000000" w14:paraId="00000064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examinar el método por el cual el Sujeto Obligado la generó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5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6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Permite constatar la información compartida con la normatividad aplicable.</w:t>
                </w:r>
              </w:p>
            </w:tc>
            <w:tc>
              <w:tcPr>
                <w:vMerge w:val="continue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76" w:lineRule="auto"/>
                  <w:ind w:left="0" w:right="0" w:firstLine="0"/>
                  <w:jc w:val="left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8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Completa</w:t>
                </w:r>
              </w:p>
              <w:p w:rsidR="00000000" w:rsidDel="00000000" w:rsidP="00000000" w:rsidRDefault="00000000" w:rsidRPr="00000000" w14:paraId="00000069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proporcione todos los datos, aspectos, partes o referentes necesarios</w:t>
                </w:r>
              </w:p>
              <w:p w:rsidR="00000000" w:rsidDel="00000000" w:rsidP="00000000" w:rsidRDefault="00000000" w:rsidRPr="00000000" w14:paraId="0000006A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para ser global respecto del quehacer del Sujeto Obligado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B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C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Proporciona información y datos del quehacer del Sujeto Obligado.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D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1972627" cy="1596889"/>
                      <wp:effectExtent b="0" l="0" r="0" t="0"/>
                      <wp:docPr id="334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16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72627" cy="159688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E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Actual</w:t>
                </w:r>
              </w:p>
              <w:p w:rsidR="00000000" w:rsidDel="00000000" w:rsidP="00000000" w:rsidRDefault="00000000" w:rsidRPr="00000000" w14:paraId="0000006F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 la última versión de la información y es resultado de la adición,</w:t>
                </w:r>
              </w:p>
              <w:p w:rsidR="00000000" w:rsidDel="00000000" w:rsidP="00000000" w:rsidRDefault="00000000" w:rsidRPr="00000000" w14:paraId="00000070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modificación o generación de datos a partir de las acciones y actividades del Sujeto Obligado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1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2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Proporciona información de fechas recientes.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3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819400" cy="1219200"/>
                      <wp:effectExtent b="0" l="0" r="0" t="0"/>
                      <wp:docPr id="336" name="image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.png"/>
                              <pic:cNvPicPr preferRelativeResize="0"/>
                            </pic:nvPicPr>
                            <pic:blipFill>
                              <a:blip r:embed="rId17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19400" cy="12192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74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5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Datos abiertos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6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7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Cuenta con información en formato TXT.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8">
                <w:pPr>
                  <w:spacing w:after="0" w:line="240" w:lineRule="auto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152775" cy="1206500"/>
                      <wp:effectExtent b="0" l="0" r="0" t="0"/>
                      <wp:docPr id="340" name="image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.png"/>
                              <pic:cNvPicPr preferRelativeResize="0"/>
                            </pic:nvPicPr>
                            <pic:blipFill>
                              <a:blip r:embed="rId18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52775" cy="12065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9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2. Contabilización de consultas o reutilización de la información en medios de difusión (0 a 10)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D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Existencia de mecanismos de registro de consultas y/o reutilización de información</w:t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E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F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Cuenta con contador de visitas.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0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1829752" cy="923168"/>
                      <wp:effectExtent b="0" l="0" r="0" t="0"/>
                      <wp:docPr id="325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19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29752" cy="92316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2838.03833007812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1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Aprovechamiento del registro de consultas y/o reutilización de la información publicada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2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3">
                <w:pPr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Analizar mecanismos que permitan obtener un mayor impacto y cobertura en la población objetivo.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4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152775" cy="1803400"/>
                      <wp:effectExtent b="0" l="0" r="0" t="0"/>
                      <wp:docPr id="330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20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52775" cy="18034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375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5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3. La participación ciudadana efectiva e informada en el proceso de publicación y difusión de información proactiva (0 a 10)</w:t>
                </w:r>
              </w:p>
            </w:tc>
          </w:tr>
          <w:tr>
            <w:trPr>
              <w:cantSplit w:val="0"/>
              <w:trHeight w:val="223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9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La implementación de mecanismos de participación ciudadana, como encuestas, estudios de opinión, o cualquier otro ejercicio que derive en la aplicación de algún instrumento o herramienta que posibilite la apertura de las instituciones públicas hacia la participación efectiva de la población que haga uso de la información publicada de manera proactiva</w:t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A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B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Cuenta con encuesta de satisfacción de la información 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C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962275" cy="1460500"/>
                      <wp:effectExtent b="0" l="0" r="0" t="0"/>
                      <wp:docPr id="337" name="image1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.png"/>
                              <pic:cNvPicPr preferRelativeResize="0"/>
                            </pic:nvPicPr>
                            <pic:blipFill>
                              <a:blip r:embed="rId21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62275" cy="14605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8D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23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E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El aprovechamiento de los mecanismos de participación ciudadana para la mejora de la publicación y difusión de información proactiva.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F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90">
                <w:pPr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La información obtenida es registrada en un servidor, lo que permite generar estadística, así como mejorar el contenido de la misma; con lo cual se busca tener un mayor impacto y cobertura en la población objetivo, así como mejorar la atención por parte de este sujeto obligado.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91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009775" cy="1689100"/>
                      <wp:effectExtent b="0" l="0" r="0" t="0"/>
                      <wp:docPr id="342" name="image1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.png"/>
                              <pic:cNvPicPr preferRelativeResize="0"/>
                            </pic:nvPicPr>
                            <pic:blipFill>
                              <a:blip r:embed="rId22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09775" cy="16891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2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3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4. Efectos positivos generados a partir de la información difundida en el marco de la política de TP (0 a 10)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7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El diseño e implementación de mecanismos de evaluación de la política de transparencia proactiva por parte de cada Sujeto Obligado.</w:t>
                </w:r>
              </w:p>
            </w:tc>
            <w:tc>
              <w:tcPr>
                <w:tcBorders>
                  <w:top w:color="000000" w:space="0" w:sz="8" w:val="single"/>
                  <w:left w:color="cccccc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8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99">
                <w:pPr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Disminución de la asimetría de la información, facilita el acceso y cobertura de los servicios y evita traslados innecesarios de la ciudadanía a las oficinas.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9A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206823" cy="1092771"/>
                      <wp:effectExtent b="0" l="0" r="0" t="0"/>
                      <wp:docPr id="338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23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206823" cy="1092771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B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</w:p>
              <w:p w:rsidR="00000000" w:rsidDel="00000000" w:rsidP="00000000" w:rsidRDefault="00000000" w:rsidRPr="00000000" w14:paraId="0000009C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D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E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F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A0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A1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A2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A3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5. La difusión de la información proactiva en medios distintos al internet (0 a 10)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A7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Utilización e implementación de medios alternativos de divulgación de la información proactiva, como radiodifusión, televisión, medios impresos, lonas, perifoneo, pláticas informativas, asesorías, volantes, sistemas de comunicación para personas con discapacidad y otras herramientas específicas dirigidas a grupos con dificultades de uso y acceso a tecnologías de la información.</w:t>
                </w:r>
              </w:p>
            </w:tc>
            <w:tc>
              <w:tcPr>
                <w:tcBorders>
                  <w:top w:color="000000" w:space="0" w:sz="8" w:val="single"/>
                  <w:left w:color="cccccc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A8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A9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Se ha difundido a través de medios impresos y redes sociales.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AA">
                <w:pPr>
                  <w:spacing w:after="0" w:line="240" w:lineRule="auto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1067752" cy="1344024"/>
                      <wp:effectExtent b="0" l="0" r="0" t="0"/>
                      <wp:docPr id="326" name="image1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9.png"/>
                              <pic:cNvPicPr preferRelativeResize="0"/>
                            </pic:nvPicPr>
                            <pic:blipFill>
                              <a:blip r:embed="rId24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67752" cy="134402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 </w:t>
                </w: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1017811" cy="1389175"/>
                      <wp:effectExtent b="0" l="0" r="0" t="0"/>
                      <wp:docPr id="327" name="image2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0.png"/>
                              <pic:cNvPicPr preferRelativeResize="0"/>
                            </pic:nvPicPr>
                            <pic:blipFill>
                              <a:blip r:embed="rId2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17811" cy="13891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AB">
      <w:pPr>
        <w:spacing w:after="240" w:line="276" w:lineRule="auto"/>
        <w:ind w:left="-708" w:firstLine="0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uye03zr0ncmu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ectPr>
      <w:headerReference r:id="rId26" w:type="default"/>
      <w:footerReference r:id="rId27" w:type="default"/>
      <w:pgSz w:h="12240" w:w="15840" w:orient="landscape"/>
      <w:pgMar w:bottom="426" w:top="703" w:left="1701" w:right="1701" w:header="284" w:footer="125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Black">
    <w:embedRegular w:fontKey="{00000000-0000-0000-0000-000000000000}" r:id="rId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E">
    <w:pPr>
      <w:jc w:val="center"/>
      <w:rPr>
        <w:rFonts w:ascii="Arial Black" w:cs="Arial Black" w:eastAsia="Arial Black" w:hAnsi="Arial Black"/>
        <w:b w:val="1"/>
        <w:sz w:val="28"/>
        <w:szCs w:val="2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ind w:hanging="709"/>
      <w:rPr>
        <w:color w:val="000000"/>
      </w:rPr>
    </w:pPr>
    <w:r w:rsidDel="00000000" w:rsidR="00000000" w:rsidRPr="00000000">
      <w:rPr/>
      <w:drawing>
        <wp:inline distB="0" distT="0" distL="0" distR="0">
          <wp:extent cx="1219200" cy="603250"/>
          <wp:effectExtent b="0" l="0" r="0" t="0"/>
          <wp:docPr descr="https://lh6.googleusercontent.com/jNsTCK7SJZV1G9JWz3KsjecHRN4qJBWoT1yqJ8zI3zdP1eyDVhfsZPKAbxD-9PH4L81amB6R4ly7ryAICARerfuunqGa48sgff2NtmnjPGjMrXalaO6TgZ9QPIAQbCVvAvSzKqdARw2yNhE-5_s2eg" id="341" name="image4.png"/>
          <a:graphic>
            <a:graphicData uri="http://schemas.openxmlformats.org/drawingml/2006/picture">
              <pic:pic>
                <pic:nvPicPr>
                  <pic:cNvPr descr="https://lh6.googleusercontent.com/jNsTCK7SJZV1G9JWz3KsjecHRN4qJBWoT1yqJ8zI3zdP1eyDVhfsZPKAbxD-9PH4L81amB6R4ly7ryAICARerfuunqGa48sgff2NtmnjPGjMrXalaO6TgZ9QPIAQbCVvAvSzKqdARw2yNhE-5_s2eg" id="0" name="image4.png"/>
                  <pic:cNvPicPr preferRelativeResize="0"/>
                </pic:nvPicPr>
                <pic:blipFill>
                  <a:blip r:embed="rId1"/>
                  <a:srcRect b="25357" l="27473" r="25000" t="5795"/>
                  <a:stretch>
                    <a:fillRect/>
                  </a:stretch>
                </pic:blipFill>
                <pic:spPr>
                  <a:xfrm>
                    <a:off x="0" y="0"/>
                    <a:ext cx="1219200" cy="6032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-1094419</wp:posOffset>
          </wp:positionH>
          <wp:positionV relativeFrom="paragraph">
            <wp:posOffset>-85723</wp:posOffset>
          </wp:positionV>
          <wp:extent cx="10086023" cy="7639050"/>
          <wp:effectExtent b="0" l="0" r="0" t="0"/>
          <wp:wrapNone/>
          <wp:docPr descr="Imagen que contiene Gráfico de superficie&#10;&#10;Descripción generada automáticamente" id="344" name="image2.png"/>
          <a:graphic>
            <a:graphicData uri="http://schemas.openxmlformats.org/drawingml/2006/picture">
              <pic:pic>
                <pic:nvPicPr>
                  <pic:cNvPr descr="Imagen que contiene Gráfico de superficie&#10;&#10;Descripción generada automáticamente"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086023" cy="763905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0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MX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5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6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Encabezado">
    <w:name w:val="header"/>
    <w:basedOn w:val="Normal"/>
    <w:link w:val="EncabezadoCar"/>
    <w:uiPriority w:val="99"/>
    <w:unhideWhenUsed w:val="1"/>
    <w:rsid w:val="005709AD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5709AD"/>
    <w:rPr>
      <w:lang w:val="es-MX"/>
    </w:rPr>
  </w:style>
  <w:style w:type="paragraph" w:styleId="Piedepgina">
    <w:name w:val="footer"/>
    <w:basedOn w:val="Normal"/>
    <w:link w:val="PiedepginaCar"/>
    <w:uiPriority w:val="99"/>
    <w:unhideWhenUsed w:val="1"/>
    <w:rsid w:val="005709AD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5709AD"/>
    <w:rPr>
      <w:lang w:val="es-MX"/>
    </w:rPr>
  </w:style>
  <w:style w:type="paragraph" w:styleId="Prrafodelista">
    <w:name w:val="List Paragraph"/>
    <w:basedOn w:val="Normal"/>
    <w:uiPriority w:val="34"/>
    <w:qFormat w:val="1"/>
    <w:rsid w:val="00CA6134"/>
    <w:pPr>
      <w:ind w:left="720"/>
      <w:contextualSpacing w:val="1"/>
    </w:pPr>
  </w:style>
  <w:style w:type="character" w:styleId="Hipervnculo">
    <w:name w:val="Hyperlink"/>
    <w:basedOn w:val="Fuentedeprrafopredeter"/>
    <w:uiPriority w:val="99"/>
    <w:unhideWhenUsed w:val="1"/>
    <w:rsid w:val="00CA6134"/>
    <w:rPr>
      <w:color w:val="0563c1" w:themeColor="hyperlink"/>
      <w:u w:val="single"/>
    </w:rPr>
  </w:style>
  <w:style w:type="table" w:styleId="a" w:customStyle="1">
    <w:basedOn w:val="TableNormal6"/>
    <w:tblPr>
      <w:tblStyleRowBandSize w:val="1"/>
      <w:tblStyleColBandSize w:val="1"/>
      <w:tblCellMar>
        <w:top w:w="41.0" w:type="dxa"/>
        <w:left w:w="106.0" w:type="dxa"/>
        <w:bottom w:w="0.0" w:type="dxa"/>
        <w:right w:w="67.0" w:type="dxa"/>
      </w:tblCellMar>
    </w:tblPr>
  </w:style>
  <w:style w:type="table" w:styleId="a0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3.0" w:type="dxa"/>
      </w:tblCellMar>
    </w:tblPr>
  </w:style>
  <w:style w:type="table" w:styleId="a1" w:customStyle="1">
    <w:basedOn w:val="TableNormal6"/>
    <w:tblPr>
      <w:tblStyleRowBandSize w:val="1"/>
      <w:tblStyleColBandSize w:val="1"/>
      <w:tblCellMar>
        <w:top w:w="41.0" w:type="dxa"/>
        <w:left w:w="0.0" w:type="dxa"/>
        <w:bottom w:w="0.0" w:type="dxa"/>
        <w:right w:w="60.0" w:type="dxa"/>
      </w:tblCellMar>
    </w:tblPr>
  </w:style>
  <w:style w:type="table" w:styleId="a2" w:customStyle="1">
    <w:basedOn w:val="TableNormal6"/>
    <w:tblPr>
      <w:tblStyleRowBandSize w:val="1"/>
      <w:tblStyleColBandSize w:val="1"/>
      <w:tblCellMar>
        <w:top w:w="41.0" w:type="dxa"/>
        <w:left w:w="0.0" w:type="dxa"/>
        <w:bottom w:w="0.0" w:type="dxa"/>
        <w:right w:w="62.0" w:type="dxa"/>
      </w:tblCellMar>
    </w:tblPr>
  </w:style>
  <w:style w:type="table" w:styleId="a3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4" w:customStyle="1">
    <w:basedOn w:val="TableNormal6"/>
    <w:tblPr>
      <w:tblStyleRowBandSize w:val="1"/>
      <w:tblStyleColBandSize w:val="1"/>
      <w:tblCellMar>
        <w:top w:w="40.0" w:type="dxa"/>
        <w:left w:w="0.0" w:type="dxa"/>
        <w:bottom w:w="0.0" w:type="dxa"/>
        <w:right w:w="26.0" w:type="dxa"/>
      </w:tblCellMar>
    </w:tblPr>
  </w:style>
  <w:style w:type="table" w:styleId="a5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1.0" w:type="dxa"/>
      </w:tblCellMar>
    </w:tblPr>
  </w:style>
  <w:style w:type="table" w:styleId="a6" w:customStyle="1">
    <w:basedOn w:val="TableNormal6"/>
    <w:tblPr>
      <w:tblStyleRowBandSize w:val="1"/>
      <w:tblStyleColBandSize w:val="1"/>
      <w:tblCellMar>
        <w:top w:w="40.0" w:type="dxa"/>
        <w:left w:w="0.0" w:type="dxa"/>
        <w:bottom w:w="0.0" w:type="dxa"/>
        <w:right w:w="12.0" w:type="dxa"/>
      </w:tblCellMar>
    </w:tblPr>
  </w:style>
  <w:style w:type="table" w:styleId="a7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69.0" w:type="dxa"/>
      </w:tblCellMar>
    </w:tblPr>
  </w:style>
  <w:style w:type="table" w:styleId="a8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9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67.0" w:type="dxa"/>
      </w:tblCellMar>
    </w:tblPr>
  </w:style>
  <w:style w:type="table" w:styleId="aa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b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1.0" w:type="dxa"/>
      </w:tblCellMar>
    </w:tblPr>
  </w:style>
  <w:style w:type="table" w:styleId="ac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d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e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0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1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2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3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4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5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6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7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8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9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a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character" w:styleId="Nmerodepgina">
    <w:name w:val="page number"/>
    <w:basedOn w:val="Fuentedeprrafopredeter"/>
    <w:uiPriority w:val="99"/>
    <w:semiHidden w:val="1"/>
    <w:unhideWhenUsed w:val="1"/>
    <w:rsid w:val="00B6330C"/>
  </w:style>
  <w:style w:type="character" w:styleId="Mencinsinresolver1" w:customStyle="1">
    <w:name w:val="Mención sin resolver1"/>
    <w:basedOn w:val="Fuentedeprrafopredeter"/>
    <w:uiPriority w:val="99"/>
    <w:semiHidden w:val="1"/>
    <w:unhideWhenUsed w:val="1"/>
    <w:rsid w:val="001E5A88"/>
    <w:rPr>
      <w:color w:val="605e5c"/>
      <w:shd w:color="auto" w:fill="e1dfdd" w:val="clear"/>
    </w:rPr>
  </w:style>
  <w:style w:type="table" w:styleId="afb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c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d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e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0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1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2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3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4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5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6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7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8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9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a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b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c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d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e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0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1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2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3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4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5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6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7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8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9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a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b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c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d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e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0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1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2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3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4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paragraph" w:styleId="NormalWeb">
    <w:name w:val="Normal (Web)"/>
    <w:basedOn w:val="Normal"/>
    <w:uiPriority w:val="99"/>
    <w:unhideWhenUsed w:val="1"/>
    <w:rsid w:val="00195077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0.png"/><Relationship Id="rId22" Type="http://schemas.openxmlformats.org/officeDocument/2006/relationships/image" Target="media/image17.png"/><Relationship Id="rId21" Type="http://schemas.openxmlformats.org/officeDocument/2006/relationships/image" Target="media/image18.png"/><Relationship Id="rId24" Type="http://schemas.openxmlformats.org/officeDocument/2006/relationships/image" Target="media/image19.png"/><Relationship Id="rId23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6.png"/><Relationship Id="rId26" Type="http://schemas.openxmlformats.org/officeDocument/2006/relationships/header" Target="header1.xml"/><Relationship Id="rId25" Type="http://schemas.openxmlformats.org/officeDocument/2006/relationships/image" Target="media/image20.png"/><Relationship Id="rId27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hyperlink" Target="https://teemmx.org.mx/defensoria/" TargetMode="External"/><Relationship Id="rId11" Type="http://schemas.openxmlformats.org/officeDocument/2006/relationships/image" Target="media/image14.png"/><Relationship Id="rId10" Type="http://schemas.openxmlformats.org/officeDocument/2006/relationships/image" Target="media/image1.png"/><Relationship Id="rId13" Type="http://schemas.openxmlformats.org/officeDocument/2006/relationships/image" Target="media/image12.png"/><Relationship Id="rId12" Type="http://schemas.openxmlformats.org/officeDocument/2006/relationships/image" Target="media/image6.png"/><Relationship Id="rId15" Type="http://schemas.openxmlformats.org/officeDocument/2006/relationships/image" Target="media/image7.png"/><Relationship Id="rId14" Type="http://schemas.openxmlformats.org/officeDocument/2006/relationships/image" Target="media/image15.png"/><Relationship Id="rId17" Type="http://schemas.openxmlformats.org/officeDocument/2006/relationships/image" Target="media/image11.png"/><Relationship Id="rId16" Type="http://schemas.openxmlformats.org/officeDocument/2006/relationships/image" Target="media/image9.png"/><Relationship Id="rId19" Type="http://schemas.openxmlformats.org/officeDocument/2006/relationships/image" Target="media/image5.png"/><Relationship Id="rId18" Type="http://schemas.openxmlformats.org/officeDocument/2006/relationships/image" Target="media/image1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ArialBlack-regular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rE1XwNduHu/yX4dHpsxXE9NgMw==">CgMxLjAaHwoBMBIaChgICVIUChJ0YWJsZS5qMDB4b240cnAyMm4yCWguMzBqMHpsbDIOaC5ibDQzMHk0aWVrNzUyDmgueTJmZG5ib2Z0aDI5Mg5oLnV5ZTAzenIwbmNtdTgAciExWm1ZSTBXcGY5LWFCY0lOcjZRdTRzS3Y5ak9welplbmo=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2023-07-10T20:15:00Z</dcterms:created>
  <dc:creator>Jonathan Guillermo Munoz Acevedo</dc:creator>
</cp:coreProperties>
</file>